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56" w:rsidRDefault="008E1A56" w:rsidP="008E1A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</w:t>
      </w:r>
      <w:r w:rsidR="00C8175A">
        <w:rPr>
          <w:b/>
          <w:sz w:val="32"/>
          <w:szCs w:val="32"/>
        </w:rPr>
        <w:t>ný účet obce Svrkyně za rok 2017</w:t>
      </w:r>
    </w:p>
    <w:p w:rsidR="008E1A56" w:rsidRDefault="008E1A56" w:rsidP="008E1A56">
      <w:pPr>
        <w:rPr>
          <w:sz w:val="24"/>
          <w:szCs w:val="24"/>
        </w:rPr>
      </w:pPr>
      <w:r>
        <w:rPr>
          <w:sz w:val="24"/>
          <w:szCs w:val="24"/>
        </w:rPr>
        <w:t>(§17 zákona č. 250/2000 Sb., o rozpočtových pravidlech územních rozpočtů, ve znění platných  předpisů)</w:t>
      </w:r>
    </w:p>
    <w:p w:rsidR="008E1A56" w:rsidRDefault="008E1A56" w:rsidP="008E1A56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o obci: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Adresa: Obec Svrkyně, Svrkyně 94, 252 64 Velké Přílepy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IČO: 00640743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Tel.: 220930689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>
          <w:rPr>
            <w:rStyle w:val="Hypertextovodkaz"/>
            <w:sz w:val="24"/>
            <w:szCs w:val="24"/>
          </w:rPr>
          <w:t>obec@svrkyne.cz</w:t>
        </w:r>
      </w:hyperlink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www.svrkyne.cz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Peněžní ústav: Komerční banka, č. účtu: 35620-111/0100</w:t>
      </w:r>
    </w:p>
    <w:p w:rsidR="008E1A56" w:rsidRDefault="00C8175A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Počet obyvatel k 31.12.2017: 287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Počet členů obecního zastupitelstva: 7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Obec Svrkyně je členem Svazu měst a obcí, DSO Od Okoře k Vltavě a Přemyslovské Střední Čechy</w:t>
      </w:r>
    </w:p>
    <w:p w:rsidR="008E1A56" w:rsidRDefault="008E1A56" w:rsidP="008E1A5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Účetnictví je počítačově zpracováno programem TRIADA spol., s.r.o., Praha 9</w:t>
      </w:r>
    </w:p>
    <w:p w:rsidR="008E1A56" w:rsidRPr="00C8175A" w:rsidRDefault="00C8175A" w:rsidP="008E1A56">
      <w:pPr>
        <w:pStyle w:val="Bezmezer"/>
      </w:pPr>
      <w:r w:rsidRPr="00C8175A">
        <w:t>V roce 2017 nebyla schválena žádná vyhláška</w:t>
      </w:r>
    </w:p>
    <w:p w:rsidR="008E1A56" w:rsidRPr="00C8175A" w:rsidRDefault="008E1A56" w:rsidP="008E1A56">
      <w:pPr>
        <w:pStyle w:val="Bezmezer"/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C8175A" w:rsidRDefault="00C8175A" w:rsidP="008E1A56">
      <w:pPr>
        <w:pStyle w:val="Bezmezer"/>
        <w:rPr>
          <w:b/>
        </w:rPr>
      </w:pPr>
    </w:p>
    <w:p w:rsidR="00C8175A" w:rsidRDefault="00C8175A" w:rsidP="008E1A56">
      <w:pPr>
        <w:pStyle w:val="Bezmezer"/>
        <w:rPr>
          <w:b/>
        </w:rPr>
      </w:pPr>
    </w:p>
    <w:p w:rsidR="00C8175A" w:rsidRDefault="00C8175A" w:rsidP="008E1A56">
      <w:pPr>
        <w:pStyle w:val="Bezmezer"/>
        <w:rPr>
          <w:b/>
        </w:rPr>
      </w:pPr>
    </w:p>
    <w:p w:rsidR="008E1A56" w:rsidRDefault="008E1A56" w:rsidP="008E1A56">
      <w:pPr>
        <w:pStyle w:val="Bezmezer"/>
        <w:rPr>
          <w:b/>
        </w:rPr>
      </w:pPr>
    </w:p>
    <w:p w:rsidR="003272E1" w:rsidRPr="00E46403" w:rsidRDefault="008E1A56" w:rsidP="00E46403">
      <w:pPr>
        <w:pStyle w:val="Bezmezer"/>
        <w:numPr>
          <w:ilvl w:val="0"/>
          <w:numId w:val="2"/>
        </w:numPr>
        <w:rPr>
          <w:b/>
        </w:rPr>
      </w:pPr>
      <w:r>
        <w:rPr>
          <w:b/>
        </w:rPr>
        <w:lastRenderedPageBreak/>
        <w:t>Údaje o pl</w:t>
      </w:r>
      <w:r w:rsidR="000A7D8B">
        <w:rPr>
          <w:b/>
        </w:rPr>
        <w:t>nění příjmů a výdajů za rok 201</w:t>
      </w:r>
      <w:r w:rsidR="002570F9">
        <w:rPr>
          <w:b/>
        </w:rPr>
        <w:t>7</w:t>
      </w:r>
    </w:p>
    <w:p w:rsidR="008E1A56" w:rsidRDefault="008E1A56" w:rsidP="008E1A56">
      <w:pPr>
        <w:pStyle w:val="Bezmezer"/>
      </w:pPr>
      <w:r>
        <w:t>(údaje jsou v </w:t>
      </w:r>
      <w:proofErr w:type="spellStart"/>
      <w:r>
        <w:t>tis.Kč</w:t>
      </w:r>
      <w:proofErr w:type="spellEnd"/>
      <w:r>
        <w:t>)</w:t>
      </w: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81"/>
        <w:gridCol w:w="1175"/>
        <w:gridCol w:w="661"/>
        <w:gridCol w:w="661"/>
        <w:gridCol w:w="715"/>
        <w:gridCol w:w="827"/>
        <w:gridCol w:w="642"/>
        <w:gridCol w:w="851"/>
        <w:gridCol w:w="851"/>
        <w:gridCol w:w="570"/>
        <w:gridCol w:w="851"/>
        <w:gridCol w:w="162"/>
        <w:gridCol w:w="827"/>
        <w:gridCol w:w="810"/>
        <w:gridCol w:w="891"/>
      </w:tblGrid>
      <w:tr w:rsidR="008E1A56" w:rsidTr="00C8175A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6" w:rsidRDefault="008E1A56">
            <w:pPr>
              <w:pStyle w:val="Bezmez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6" w:rsidRDefault="008E1A56">
            <w:pPr>
              <w:pStyle w:val="Bezmezer"/>
            </w:pPr>
          </w:p>
        </w:tc>
        <w:tc>
          <w:tcPr>
            <w:tcW w:w="5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</w:pPr>
            <w:r>
              <w:t>Rozpočtové opatření č.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6" w:rsidRDefault="008E1A56">
            <w:pPr>
              <w:pStyle w:val="Bezmezer"/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6" w:rsidRDefault="008E1A56">
            <w:pPr>
              <w:pStyle w:val="Bezmez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6" w:rsidRDefault="008E1A56">
            <w:pPr>
              <w:pStyle w:val="Bezmezer"/>
            </w:pP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Schválený rozpočet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6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 xml:space="preserve">Upravený rozpočet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Plnění k 31.12. 2017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Plnění k upravenému rozpočtu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Třída 1- Daňové příjmy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3 202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  <w:r>
              <w:t>+1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  <w:r>
              <w:t>+4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  <w:r>
              <w:t>+9</w:t>
            </w:r>
          </w:p>
          <w:p w:rsidR="003D6D54" w:rsidRDefault="003D6D54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 w:rsidP="003D6D54">
            <w:pPr>
              <w:pStyle w:val="Bezmezer"/>
            </w:pPr>
            <w:r>
              <w:t>+650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3 866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3 895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100,75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Třída 2-Nedańové příjmy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488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rPr>
                <w:rFonts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+10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rPr>
                <w:rFonts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 w:rsidP="003D6D54">
            <w:pPr>
              <w:pStyle w:val="Bezmezer"/>
            </w:pPr>
            <w:r>
              <w:t>-108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 xml:space="preserve">   390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rPr>
                <w:color w:val="000000" w:themeColor="text1"/>
              </w:rPr>
              <w:t xml:space="preserve">  391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100,26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Třída 3-Kapitálové příjmy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100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Třída 4-Přijaté dotace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>
            <w:pPr>
              <w:pStyle w:val="Bezmezer"/>
            </w:pPr>
            <w:r>
              <w:t>-2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58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58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100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3 750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-+11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+542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4 314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4 34</w:t>
            </w:r>
            <w:r w:rsidR="002570F9">
              <w:rPr>
                <w:b/>
                <w:color w:val="000000" w:themeColor="text1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3D6D54">
            <w:pPr>
              <w:pStyle w:val="Bezmezer"/>
              <w:rPr>
                <w:b/>
              </w:rPr>
            </w:pPr>
            <w:r>
              <w:rPr>
                <w:b/>
              </w:rPr>
              <w:t>100,</w:t>
            </w:r>
            <w:r w:rsidR="002570F9">
              <w:rPr>
                <w:b/>
              </w:rPr>
              <w:t>67</w:t>
            </w:r>
          </w:p>
          <w:p w:rsidR="00C8175A" w:rsidRDefault="00C8175A">
            <w:pPr>
              <w:pStyle w:val="Bezmezer"/>
              <w:rPr>
                <w:b/>
              </w:rPr>
            </w:pP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Třída 5-Běžné výdaje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2 910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 xml:space="preserve"> </w:t>
            </w:r>
          </w:p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</w:p>
          <w:p w:rsidR="00C8175A" w:rsidRDefault="00C8175A">
            <w:pPr>
              <w:pStyle w:val="Bezmezer"/>
            </w:pPr>
            <w:r>
              <w:t xml:space="preserve">  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</w:p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rPr>
                <w:rFonts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</w:p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-772</w:t>
            </w:r>
          </w:p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2 138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2 112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3D6D54">
            <w:pPr>
              <w:pStyle w:val="Bezmezer"/>
            </w:pPr>
            <w:r>
              <w:t>98,78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Třída 6-Kapitálové výdaje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6 880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F40B69">
            <w:pPr>
              <w:pStyle w:val="Bezmezer"/>
            </w:pPr>
            <w:r>
              <w:t>-5 700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 xml:space="preserve"> 1 180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 w:rsidP="00F40B69">
            <w:pPr>
              <w:pStyle w:val="Bezmezer"/>
            </w:pPr>
            <w:r>
              <w:t xml:space="preserve"> </w:t>
            </w:r>
            <w:r w:rsidR="00F40B69">
              <w:t xml:space="preserve">1 180        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100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9 790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-6 475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3 318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3 292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99,2</w:t>
            </w:r>
            <w:r w:rsidR="002570F9">
              <w:rPr>
                <w:b/>
              </w:rPr>
              <w:t>2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Saldo: Příjmy  -výdaje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 w:rsidP="00F40B6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3 040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+11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+4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+9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-5 065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997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  <w:rPr>
                <w:b/>
              </w:rPr>
            </w:pPr>
            <w:r>
              <w:rPr>
                <w:b/>
              </w:rPr>
              <w:t>1 052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rPr>
                <w:rFonts w:cs="Times New Roman"/>
              </w:rPr>
            </w:pP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Třída 8-Financování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6 040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-2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+11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+4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+9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+5 059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 w:rsidP="00F40B69">
            <w:pPr>
              <w:pStyle w:val="Bezmezer"/>
            </w:pPr>
            <w:r>
              <w:t xml:space="preserve">  997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1 052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F40B69">
            <w:pPr>
              <w:pStyle w:val="Bezmezer"/>
            </w:pPr>
            <w:r>
              <w:t>105,52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lastRenderedPageBreak/>
              <w:t>Přijaté úvěry a půjčky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Splátky úvěrů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Fond rezerv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Fond sociální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Prostředky minulých let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5A" w:rsidRDefault="00C8175A">
            <w:pPr>
              <w:pStyle w:val="Bezmez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</w:tr>
      <w:tr w:rsidR="00C8175A" w:rsidTr="008E1A56">
        <w:trPr>
          <w:gridAfter w:val="1"/>
          <w:wAfter w:w="89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Financování celkem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>6 040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>-2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>+11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>+4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>+9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C8175A">
            <w:pPr>
              <w:pStyle w:val="Bezmez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>5 065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 xml:space="preserve">  997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pStyle w:val="Bezmezer"/>
            </w:pPr>
            <w:r>
              <w:t>1 052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75A" w:rsidRDefault="004A206F">
            <w:pPr>
              <w:rPr>
                <w:rFonts w:cs="Times New Roman"/>
              </w:rPr>
            </w:pPr>
            <w:r>
              <w:rPr>
                <w:rFonts w:cs="Times New Roman"/>
              </w:rPr>
              <w:t>105,52</w:t>
            </w:r>
          </w:p>
        </w:tc>
      </w:tr>
    </w:tbl>
    <w:p w:rsidR="00E46403" w:rsidRDefault="00E46403" w:rsidP="008E1A56">
      <w:pPr>
        <w:pStyle w:val="Bezmezer"/>
        <w:jc w:val="both"/>
        <w:rPr>
          <w:b/>
        </w:rPr>
      </w:pPr>
    </w:p>
    <w:p w:rsidR="008E1A56" w:rsidRDefault="008E1A56" w:rsidP="008E1A56">
      <w:pPr>
        <w:pStyle w:val="Bezmezer"/>
        <w:jc w:val="both"/>
        <w:rPr>
          <w:b/>
        </w:rPr>
      </w:pPr>
      <w:r>
        <w:rPr>
          <w:b/>
        </w:rPr>
        <w:t>Údaje o plnění rozpočtu příjmů, výdajů a o dalších finančních operacích v plném členění podle rozpočtové skladby jsou obsaženy v příloze č.1 a 2 a jsou k nahlédnutí na obecním úřadě.</w:t>
      </w:r>
    </w:p>
    <w:p w:rsidR="008E1A56" w:rsidRDefault="008E1A56" w:rsidP="008E1A56">
      <w:pPr>
        <w:pStyle w:val="Bezmezer"/>
        <w:jc w:val="both"/>
        <w:rPr>
          <w:b/>
        </w:rPr>
      </w:pPr>
      <w:r>
        <w:rPr>
          <w:b/>
        </w:rPr>
        <w:t>Překročení a nenaplnění  příjmů a výdajů některých položek:</w:t>
      </w: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Příjmy (srovnání s plánovaným rozpočtem):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Daně z příj</w:t>
      </w:r>
      <w:r w:rsidR="0007230A">
        <w:rPr>
          <w:sz w:val="24"/>
          <w:szCs w:val="24"/>
        </w:rPr>
        <w:t>mů FO  byla plánována ve výši 720</w:t>
      </w:r>
      <w:r w:rsidR="00204588">
        <w:rPr>
          <w:sz w:val="24"/>
          <w:szCs w:val="24"/>
        </w:rPr>
        <w:t> 000,-</w:t>
      </w:r>
      <w:r w:rsidR="0007230A">
        <w:rPr>
          <w:sz w:val="24"/>
          <w:szCs w:val="24"/>
        </w:rPr>
        <w:t xml:space="preserve"> Kč, skutečnost byla  893 651,65</w:t>
      </w:r>
      <w:r>
        <w:rPr>
          <w:sz w:val="24"/>
          <w:szCs w:val="24"/>
        </w:rPr>
        <w:t>,- Kč, dan z příjm</w:t>
      </w:r>
      <w:r w:rsidR="0007230A">
        <w:rPr>
          <w:sz w:val="24"/>
          <w:szCs w:val="24"/>
        </w:rPr>
        <w:t>ů PO byla rozpočtována ve výši 600 000,- Kč, skutečnost byla 782 922,02</w:t>
      </w:r>
      <w:r>
        <w:rPr>
          <w:sz w:val="24"/>
          <w:szCs w:val="24"/>
        </w:rPr>
        <w:t xml:space="preserve">,- Kč, DPH byly plánované příjmy </w:t>
      </w:r>
      <w:r w:rsidR="0007230A">
        <w:rPr>
          <w:sz w:val="24"/>
          <w:szCs w:val="24"/>
        </w:rPr>
        <w:t>1 300 000, skutečnost byla 1 585 888,46</w:t>
      </w:r>
      <w:r>
        <w:rPr>
          <w:sz w:val="24"/>
          <w:szCs w:val="24"/>
        </w:rPr>
        <w:t>,- Kč,  daň z nemovit</w:t>
      </w:r>
      <w:r w:rsidR="00204588">
        <w:rPr>
          <w:sz w:val="24"/>
          <w:szCs w:val="24"/>
        </w:rPr>
        <w:t xml:space="preserve">ého majetku byla plánována na </w:t>
      </w:r>
      <w:r w:rsidR="0007230A">
        <w:rPr>
          <w:sz w:val="24"/>
          <w:szCs w:val="24"/>
        </w:rPr>
        <w:t>550 000,- Kč, skutečnost byla 593 323,36</w:t>
      </w:r>
      <w:r>
        <w:rPr>
          <w:sz w:val="24"/>
          <w:szCs w:val="24"/>
        </w:rPr>
        <w:t>,- Kč</w:t>
      </w:r>
      <w:r w:rsidRPr="00A51F9C">
        <w:rPr>
          <w:sz w:val="24"/>
          <w:szCs w:val="24"/>
        </w:rPr>
        <w:t xml:space="preserve">. </w:t>
      </w:r>
      <w:r w:rsidR="00CC66C0" w:rsidRPr="00A51F9C">
        <w:rPr>
          <w:sz w:val="24"/>
          <w:szCs w:val="24"/>
        </w:rPr>
        <w:t xml:space="preserve"> Ke zvýšení daňových příjmů došlo v důsledku růstu ekonomiky. Lidé více utráceli a zvýšila se zaměstnanost obyvatel.</w:t>
      </w:r>
    </w:p>
    <w:p w:rsidR="008E1A56" w:rsidRPr="00A134D3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Položka s</w:t>
      </w:r>
      <w:r w:rsidR="0007230A">
        <w:rPr>
          <w:sz w:val="24"/>
          <w:szCs w:val="24"/>
        </w:rPr>
        <w:t>běr a svoz KO byla plánována 167 000,- Kč, skutečnost byla 166 346</w:t>
      </w:r>
      <w:r>
        <w:rPr>
          <w:sz w:val="24"/>
          <w:szCs w:val="24"/>
        </w:rPr>
        <w:t>,-Kč, poplatky  z</w:t>
      </w:r>
      <w:r w:rsidR="0007230A">
        <w:rPr>
          <w:sz w:val="24"/>
          <w:szCs w:val="24"/>
        </w:rPr>
        <w:t>e psů byly plánovány 7</w:t>
      </w:r>
      <w:r w:rsidR="00204588">
        <w:rPr>
          <w:sz w:val="24"/>
          <w:szCs w:val="24"/>
        </w:rPr>
        <w:t> 000,- Kč</w:t>
      </w:r>
      <w:r w:rsidR="0007230A" w:rsidRPr="00A51F9C">
        <w:rPr>
          <w:sz w:val="24"/>
          <w:szCs w:val="24"/>
        </w:rPr>
        <w:t>, RO upraveny na 6 000,-Kč</w:t>
      </w:r>
      <w:r w:rsidR="00204588" w:rsidRPr="00A51F9C">
        <w:rPr>
          <w:sz w:val="24"/>
          <w:szCs w:val="24"/>
        </w:rPr>
        <w:t xml:space="preserve"> překročeny o</w:t>
      </w:r>
      <w:r w:rsidR="0007230A" w:rsidRPr="00A51F9C">
        <w:rPr>
          <w:sz w:val="24"/>
          <w:szCs w:val="24"/>
        </w:rPr>
        <w:t xml:space="preserve"> 3</w:t>
      </w:r>
      <w:r w:rsidRPr="00A51F9C">
        <w:rPr>
          <w:sz w:val="24"/>
          <w:szCs w:val="24"/>
        </w:rPr>
        <w:t>00,- Kč, správní poplatky byly 0,- Kč, poplatek za užívání veřej</w:t>
      </w:r>
      <w:r w:rsidR="00204588" w:rsidRPr="00A51F9C">
        <w:rPr>
          <w:sz w:val="24"/>
          <w:szCs w:val="24"/>
        </w:rPr>
        <w:t>n</w:t>
      </w:r>
      <w:r w:rsidR="0007230A" w:rsidRPr="00A51F9C">
        <w:rPr>
          <w:sz w:val="24"/>
          <w:szCs w:val="24"/>
        </w:rPr>
        <w:t>ého prostranství byl plánován 12</w:t>
      </w:r>
      <w:r w:rsidR="00204588" w:rsidRPr="00A51F9C">
        <w:rPr>
          <w:sz w:val="24"/>
          <w:szCs w:val="24"/>
        </w:rPr>
        <w:t> 000,</w:t>
      </w:r>
      <w:r w:rsidR="0007230A" w:rsidRPr="00A51F9C">
        <w:rPr>
          <w:sz w:val="24"/>
          <w:szCs w:val="24"/>
        </w:rPr>
        <w:t xml:space="preserve"> RO upraven na 3 000,-Kč a </w:t>
      </w:r>
      <w:r w:rsidR="00204588" w:rsidRPr="00A51F9C">
        <w:rPr>
          <w:sz w:val="24"/>
          <w:szCs w:val="24"/>
        </w:rPr>
        <w:t xml:space="preserve"> byl </w:t>
      </w:r>
      <w:r w:rsidR="0007230A" w:rsidRPr="00A51F9C">
        <w:rPr>
          <w:sz w:val="24"/>
          <w:szCs w:val="24"/>
        </w:rPr>
        <w:t xml:space="preserve">3 </w:t>
      </w:r>
      <w:r w:rsidR="00204588" w:rsidRPr="00A51F9C">
        <w:rPr>
          <w:sz w:val="24"/>
          <w:szCs w:val="24"/>
        </w:rPr>
        <w:t>725</w:t>
      </w:r>
      <w:r w:rsidRPr="00A51F9C">
        <w:rPr>
          <w:sz w:val="24"/>
          <w:szCs w:val="24"/>
        </w:rPr>
        <w:t>,- Kč; příjmy z činnosti mí</w:t>
      </w:r>
      <w:r w:rsidR="00C5252F" w:rsidRPr="00A51F9C">
        <w:rPr>
          <w:sz w:val="24"/>
          <w:szCs w:val="24"/>
        </w:rPr>
        <w:t>stní správy byly plánovány na 22</w:t>
      </w:r>
      <w:r w:rsidRPr="00A51F9C">
        <w:rPr>
          <w:sz w:val="24"/>
          <w:szCs w:val="24"/>
        </w:rPr>
        <w:t>0 000</w:t>
      </w:r>
      <w:r w:rsidR="0007230A" w:rsidRPr="00A51F9C">
        <w:rPr>
          <w:sz w:val="24"/>
          <w:szCs w:val="24"/>
        </w:rPr>
        <w:t>,- Kč, ve skutečnosti byly 223 334</w:t>
      </w:r>
      <w:r w:rsidR="00C5252F" w:rsidRPr="00A51F9C">
        <w:rPr>
          <w:sz w:val="24"/>
          <w:szCs w:val="24"/>
        </w:rPr>
        <w:t>,- Kč</w:t>
      </w:r>
      <w:r w:rsidR="00CC66C0" w:rsidRPr="00A51F9C">
        <w:rPr>
          <w:sz w:val="24"/>
          <w:szCs w:val="24"/>
        </w:rPr>
        <w:t xml:space="preserve">. </w:t>
      </w:r>
      <w:r w:rsidRPr="00A51F9C">
        <w:rPr>
          <w:sz w:val="24"/>
          <w:szCs w:val="24"/>
        </w:rPr>
        <w:t xml:space="preserve"> ,</w:t>
      </w:r>
      <w:r w:rsidR="00C5252F" w:rsidRPr="00A51F9C">
        <w:rPr>
          <w:sz w:val="24"/>
          <w:szCs w:val="24"/>
        </w:rPr>
        <w:t xml:space="preserve"> příjmy z úroků byly pl</w:t>
      </w:r>
      <w:r w:rsidR="0007230A" w:rsidRPr="00A51F9C">
        <w:rPr>
          <w:sz w:val="24"/>
          <w:szCs w:val="24"/>
        </w:rPr>
        <w:t>ánovány 1 000, skutečnost 505,04</w:t>
      </w:r>
      <w:r w:rsidR="00C5252F" w:rsidRPr="00A51F9C">
        <w:rPr>
          <w:sz w:val="24"/>
          <w:szCs w:val="24"/>
        </w:rPr>
        <w:t>,- Kč</w:t>
      </w:r>
      <w:r w:rsidRPr="00A51F9C">
        <w:rPr>
          <w:sz w:val="24"/>
          <w:szCs w:val="24"/>
        </w:rPr>
        <w:t>.</w:t>
      </w:r>
      <w:r w:rsidR="00C5252F" w:rsidRPr="00A51F9C">
        <w:rPr>
          <w:sz w:val="24"/>
          <w:szCs w:val="24"/>
        </w:rPr>
        <w:t xml:space="preserve"> Příjmy z úroků klesly z důvodu snížení úrokových sazeb komerční banky a nulových sazeb obchodní banky.</w:t>
      </w:r>
    </w:p>
    <w:p w:rsidR="008E1A56" w:rsidRPr="00A134D3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přijala v rámci transfer ze </w:t>
      </w:r>
      <w:r w:rsidR="00C5252F">
        <w:rPr>
          <w:sz w:val="24"/>
          <w:szCs w:val="24"/>
        </w:rPr>
        <w:t>SR souhrnnou dotaci ve výši 5</w:t>
      </w:r>
      <w:r w:rsidR="0007230A">
        <w:rPr>
          <w:sz w:val="24"/>
          <w:szCs w:val="24"/>
        </w:rPr>
        <w:t>7 8</w:t>
      </w:r>
      <w:r>
        <w:rPr>
          <w:sz w:val="24"/>
          <w:szCs w:val="24"/>
        </w:rPr>
        <w:t xml:space="preserve">00,- Kč. </w:t>
      </w:r>
      <w:r w:rsidR="00C5252F" w:rsidRPr="00A134D3">
        <w:rPr>
          <w:sz w:val="24"/>
          <w:szCs w:val="24"/>
        </w:rPr>
        <w:t>Do</w:t>
      </w:r>
      <w:r w:rsidR="0007230A">
        <w:rPr>
          <w:sz w:val="24"/>
          <w:szCs w:val="24"/>
        </w:rPr>
        <w:t>tace na volby konané v roce 2017 byla 9 168</w:t>
      </w:r>
      <w:r w:rsidR="00C5252F" w:rsidRPr="00A134D3">
        <w:rPr>
          <w:sz w:val="24"/>
          <w:szCs w:val="24"/>
        </w:rPr>
        <w:t>,-Kč.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Plánované příjmy c</w:t>
      </w:r>
      <w:r w:rsidR="0007230A">
        <w:rPr>
          <w:b/>
          <w:sz w:val="24"/>
          <w:szCs w:val="24"/>
        </w:rPr>
        <w:t>elkem byly 3 75</w:t>
      </w:r>
      <w:r>
        <w:rPr>
          <w:b/>
          <w:sz w:val="24"/>
          <w:szCs w:val="24"/>
        </w:rPr>
        <w:t>0 00</w:t>
      </w:r>
      <w:r w:rsidR="00C5252F">
        <w:rPr>
          <w:b/>
          <w:sz w:val="24"/>
          <w:szCs w:val="24"/>
        </w:rPr>
        <w:t>0,-</w:t>
      </w:r>
      <w:r w:rsidR="0007230A">
        <w:rPr>
          <w:b/>
          <w:sz w:val="24"/>
          <w:szCs w:val="24"/>
        </w:rPr>
        <w:t xml:space="preserve"> Kč, skutečné příjmy činily 4 343 491</w:t>
      </w:r>
      <w:r>
        <w:rPr>
          <w:b/>
          <w:sz w:val="24"/>
          <w:szCs w:val="24"/>
        </w:rPr>
        <w:t>,- Kč</w:t>
      </w:r>
      <w:r w:rsidR="00C5252F">
        <w:rPr>
          <w:b/>
          <w:sz w:val="24"/>
          <w:szCs w:val="24"/>
        </w:rPr>
        <w:t>, došlo k překroč</w:t>
      </w:r>
      <w:r w:rsidR="0007230A">
        <w:rPr>
          <w:b/>
          <w:sz w:val="24"/>
          <w:szCs w:val="24"/>
        </w:rPr>
        <w:t>ení o 593</w:t>
      </w:r>
      <w:r w:rsidR="008A0625">
        <w:rPr>
          <w:b/>
          <w:sz w:val="24"/>
          <w:szCs w:val="24"/>
        </w:rPr>
        <w:t> </w:t>
      </w:r>
      <w:r w:rsidR="0007230A">
        <w:rPr>
          <w:b/>
          <w:sz w:val="24"/>
          <w:szCs w:val="24"/>
        </w:rPr>
        <w:t>491</w:t>
      </w:r>
      <w:r>
        <w:rPr>
          <w:b/>
          <w:sz w:val="24"/>
          <w:szCs w:val="24"/>
        </w:rPr>
        <w:t>,- Kč</w:t>
      </w:r>
      <w:r w:rsidR="00A51F9C">
        <w:rPr>
          <w:b/>
          <w:sz w:val="24"/>
          <w:szCs w:val="24"/>
        </w:rPr>
        <w:t xml:space="preserve"> (</w:t>
      </w:r>
      <w:r w:rsidR="00A51F9C" w:rsidRPr="00A51F9C">
        <w:rPr>
          <w:sz w:val="24"/>
          <w:szCs w:val="24"/>
        </w:rPr>
        <w:t xml:space="preserve">především u </w:t>
      </w:r>
      <w:proofErr w:type="spellStart"/>
      <w:r w:rsidR="00A51F9C" w:rsidRPr="00A51F9C">
        <w:rPr>
          <w:sz w:val="24"/>
          <w:szCs w:val="24"/>
        </w:rPr>
        <w:t>DzP</w:t>
      </w:r>
      <w:proofErr w:type="spellEnd"/>
      <w:r w:rsidR="00A51F9C" w:rsidRPr="00A51F9C">
        <w:rPr>
          <w:sz w:val="24"/>
          <w:szCs w:val="24"/>
        </w:rPr>
        <w:t xml:space="preserve"> FO, PO a DPH)</w:t>
      </w:r>
      <w:r w:rsidRPr="00A51F9C">
        <w:rPr>
          <w:sz w:val="24"/>
          <w:szCs w:val="24"/>
        </w:rPr>
        <w:t>.</w:t>
      </w:r>
    </w:p>
    <w:p w:rsidR="00A51F9C" w:rsidRDefault="00A51F9C" w:rsidP="008E1A56">
      <w:pPr>
        <w:pStyle w:val="Bezmezer"/>
        <w:jc w:val="both"/>
        <w:rPr>
          <w:sz w:val="24"/>
          <w:szCs w:val="24"/>
        </w:rPr>
      </w:pPr>
    </w:p>
    <w:p w:rsidR="00A51F9C" w:rsidRPr="00A51F9C" w:rsidRDefault="00A51F9C" w:rsidP="008E1A56">
      <w:pPr>
        <w:pStyle w:val="Bezmezer"/>
        <w:jc w:val="both"/>
        <w:rPr>
          <w:sz w:val="24"/>
          <w:szCs w:val="24"/>
        </w:rPr>
      </w:pPr>
    </w:p>
    <w:p w:rsidR="008E1A56" w:rsidRPr="00A51F9C" w:rsidRDefault="008E1A56" w:rsidP="008E1A56">
      <w:pPr>
        <w:pStyle w:val="Bezmezer"/>
        <w:jc w:val="both"/>
        <w:rPr>
          <w:sz w:val="24"/>
          <w:szCs w:val="24"/>
        </w:rPr>
      </w:pP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Výdaje (srovnání s plánovaným rozpočtem):</w:t>
      </w:r>
    </w:p>
    <w:p w:rsidR="00A51F9C" w:rsidRDefault="00E51F05" w:rsidP="00A51F9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roce </w:t>
      </w:r>
      <w:r w:rsidR="00A51F9C">
        <w:rPr>
          <w:sz w:val="24"/>
          <w:szCs w:val="24"/>
        </w:rPr>
        <w:t xml:space="preserve">2017 </w:t>
      </w:r>
      <w:r>
        <w:rPr>
          <w:sz w:val="24"/>
          <w:szCs w:val="24"/>
        </w:rPr>
        <w:t xml:space="preserve">bylo ušetřeno na </w:t>
      </w:r>
      <w:r w:rsidR="00355EE1">
        <w:rPr>
          <w:sz w:val="24"/>
          <w:szCs w:val="24"/>
        </w:rPr>
        <w:t xml:space="preserve">položce </w:t>
      </w:r>
      <w:r>
        <w:rPr>
          <w:sz w:val="24"/>
          <w:szCs w:val="24"/>
        </w:rPr>
        <w:t>oprava cest a silnice 70 000</w:t>
      </w:r>
      <w:r w:rsidR="00355EE1">
        <w:rPr>
          <w:sz w:val="24"/>
          <w:szCs w:val="24"/>
        </w:rPr>
        <w:t>,- Kč, (plánováno v rozpočtu)</w:t>
      </w:r>
      <w:r w:rsidR="008E1A56">
        <w:rPr>
          <w:sz w:val="24"/>
          <w:szCs w:val="24"/>
        </w:rPr>
        <w:t>. V dopravní obslužnosti oproti plánova</w:t>
      </w:r>
      <w:r>
        <w:rPr>
          <w:sz w:val="24"/>
          <w:szCs w:val="24"/>
        </w:rPr>
        <w:t xml:space="preserve">ným </w:t>
      </w:r>
      <w:r w:rsidR="008076AE">
        <w:rPr>
          <w:sz w:val="24"/>
          <w:szCs w:val="24"/>
        </w:rPr>
        <w:t>90 000,- Kč bylo utraceno 85 544,20</w:t>
      </w:r>
      <w:r w:rsidR="008E1A56">
        <w:rPr>
          <w:sz w:val="24"/>
          <w:szCs w:val="24"/>
        </w:rPr>
        <w:t>,- Kč; v nákupu ostatních služ</w:t>
      </w:r>
      <w:r>
        <w:rPr>
          <w:sz w:val="24"/>
          <w:szCs w:val="24"/>
        </w:rPr>
        <w:t>eb (pitná voda) bylo plánován</w:t>
      </w:r>
      <w:r w:rsidR="008076AE">
        <w:rPr>
          <w:sz w:val="24"/>
          <w:szCs w:val="24"/>
        </w:rPr>
        <w:t>o 20 000,- Kč, utraceno bylo 302</w:t>
      </w:r>
      <w:r w:rsidR="008E1A56">
        <w:rPr>
          <w:sz w:val="24"/>
          <w:szCs w:val="24"/>
        </w:rPr>
        <w:t xml:space="preserve">,- Kč; na předškolní </w:t>
      </w:r>
      <w:r w:rsidR="008076AE">
        <w:rPr>
          <w:sz w:val="24"/>
          <w:szCs w:val="24"/>
        </w:rPr>
        <w:t xml:space="preserve">a školní </w:t>
      </w:r>
      <w:r w:rsidR="008E1A56">
        <w:rPr>
          <w:sz w:val="24"/>
          <w:szCs w:val="24"/>
        </w:rPr>
        <w:t>zařízení bylo plá</w:t>
      </w:r>
      <w:r w:rsidR="008076AE">
        <w:rPr>
          <w:sz w:val="24"/>
          <w:szCs w:val="24"/>
        </w:rPr>
        <w:t>nováno 250 000,- Kč, utraceno 87</w:t>
      </w:r>
      <w:r w:rsidR="008E1A56">
        <w:rPr>
          <w:sz w:val="24"/>
          <w:szCs w:val="24"/>
        </w:rPr>
        <w:t xml:space="preserve"> 000,-Kč; </w:t>
      </w:r>
      <w:r>
        <w:rPr>
          <w:sz w:val="24"/>
          <w:szCs w:val="24"/>
        </w:rPr>
        <w:t xml:space="preserve"> služby knihovnické, </w:t>
      </w:r>
      <w:r w:rsidR="008E1A56">
        <w:rPr>
          <w:sz w:val="24"/>
          <w:szCs w:val="24"/>
        </w:rPr>
        <w:t>využití volného času dětí</w:t>
      </w:r>
      <w:r>
        <w:rPr>
          <w:sz w:val="24"/>
          <w:szCs w:val="24"/>
        </w:rPr>
        <w:t xml:space="preserve"> a činnosti  pro seniory</w:t>
      </w:r>
      <w:r w:rsidR="008E1A56">
        <w:rPr>
          <w:sz w:val="24"/>
          <w:szCs w:val="24"/>
        </w:rPr>
        <w:t xml:space="preserve"> bylo téměř v souladu s plánovaným rozpočtem; v položce ve</w:t>
      </w:r>
      <w:r>
        <w:rPr>
          <w:sz w:val="24"/>
          <w:szCs w:val="24"/>
        </w:rPr>
        <w:t>řejné osvětlení bylo plánováno 2</w:t>
      </w:r>
      <w:r w:rsidR="008E1A56">
        <w:rPr>
          <w:sz w:val="24"/>
          <w:szCs w:val="24"/>
        </w:rPr>
        <w:t xml:space="preserve">00 000,- Kč, rozpočet byl upravován (snížení položky), bylo </w:t>
      </w:r>
      <w:r w:rsidR="008E1A56">
        <w:rPr>
          <w:color w:val="000000" w:themeColor="text1"/>
          <w:sz w:val="24"/>
          <w:szCs w:val="24"/>
        </w:rPr>
        <w:t>utraceno</w:t>
      </w:r>
      <w:r w:rsidR="008076AE">
        <w:rPr>
          <w:sz w:val="24"/>
          <w:szCs w:val="24"/>
        </w:rPr>
        <w:t xml:space="preserve"> 95 521,65</w:t>
      </w:r>
      <w:r w:rsidR="008E1A56">
        <w:rPr>
          <w:sz w:val="24"/>
          <w:szCs w:val="24"/>
        </w:rPr>
        <w:t xml:space="preserve">Kč); na položce </w:t>
      </w:r>
      <w:r>
        <w:rPr>
          <w:sz w:val="24"/>
          <w:szCs w:val="24"/>
        </w:rPr>
        <w:t>sběr a odvoz KO bylo plánováno 450 000,- Kč, utr</w:t>
      </w:r>
      <w:r w:rsidR="008076AE">
        <w:rPr>
          <w:sz w:val="24"/>
          <w:szCs w:val="24"/>
        </w:rPr>
        <w:t>aceno bylo 312 789,50</w:t>
      </w:r>
      <w:r w:rsidR="008E1A56">
        <w:rPr>
          <w:sz w:val="24"/>
          <w:szCs w:val="24"/>
        </w:rPr>
        <w:t>,- Kč; na položce</w:t>
      </w:r>
      <w:r>
        <w:rPr>
          <w:sz w:val="24"/>
          <w:szCs w:val="24"/>
        </w:rPr>
        <w:t xml:space="preserve"> veřejná zeleň bylo plánováno 15</w:t>
      </w:r>
      <w:r w:rsidR="008076AE">
        <w:rPr>
          <w:sz w:val="24"/>
          <w:szCs w:val="24"/>
        </w:rPr>
        <w:t>0 000,- Kč, utraceno bylo 59 118,-</w:t>
      </w:r>
      <w:r w:rsidR="008E1A56">
        <w:rPr>
          <w:sz w:val="24"/>
          <w:szCs w:val="24"/>
        </w:rPr>
        <w:t xml:space="preserve">Kč </w:t>
      </w:r>
      <w:r>
        <w:rPr>
          <w:sz w:val="24"/>
          <w:szCs w:val="24"/>
        </w:rPr>
        <w:t>,</w:t>
      </w:r>
      <w:r w:rsidR="008E1A56">
        <w:rPr>
          <w:sz w:val="24"/>
          <w:szCs w:val="24"/>
        </w:rPr>
        <w:t xml:space="preserve"> na položce bezpečnost a veřejný pořádek bylo plánován</w:t>
      </w:r>
      <w:r>
        <w:rPr>
          <w:sz w:val="24"/>
          <w:szCs w:val="24"/>
        </w:rPr>
        <w:t>o 18</w:t>
      </w:r>
      <w:r w:rsidR="008076AE">
        <w:rPr>
          <w:sz w:val="24"/>
          <w:szCs w:val="24"/>
        </w:rPr>
        <w:t>0 000,-Kč, utraceno bylo 151 559</w:t>
      </w:r>
      <w:r w:rsidR="008E1A56">
        <w:rPr>
          <w:sz w:val="24"/>
          <w:szCs w:val="24"/>
        </w:rPr>
        <w:t>,- Kč,; odměny zastupitelstva obce včetně odvodů byly plánovány ve výši</w:t>
      </w:r>
      <w:r w:rsidR="008076AE">
        <w:rPr>
          <w:sz w:val="24"/>
          <w:szCs w:val="24"/>
        </w:rPr>
        <w:t xml:space="preserve"> 415 000,- Kč, utraceno bylo 405 22</w:t>
      </w:r>
      <w:r>
        <w:rPr>
          <w:sz w:val="24"/>
          <w:szCs w:val="24"/>
        </w:rPr>
        <w:t>4</w:t>
      </w:r>
      <w:r w:rsidR="008E1A56">
        <w:rPr>
          <w:sz w:val="24"/>
          <w:szCs w:val="24"/>
        </w:rPr>
        <w:t>,- Kč; na položce mí</w:t>
      </w:r>
      <w:r w:rsidR="008076AE">
        <w:rPr>
          <w:sz w:val="24"/>
          <w:szCs w:val="24"/>
        </w:rPr>
        <w:t>stní správy bylo plánováno 7 78</w:t>
      </w:r>
      <w:r>
        <w:rPr>
          <w:sz w:val="24"/>
          <w:szCs w:val="24"/>
        </w:rPr>
        <w:t>0</w:t>
      </w:r>
      <w:r w:rsidR="008076AE">
        <w:rPr>
          <w:sz w:val="24"/>
          <w:szCs w:val="24"/>
        </w:rPr>
        <w:t> 000,- Kč, utraceno bylo 2 024 293,23</w:t>
      </w:r>
      <w:r w:rsidR="008E1A56">
        <w:rPr>
          <w:sz w:val="24"/>
          <w:szCs w:val="24"/>
        </w:rPr>
        <w:t>,- Kč. Na této položce je účtováno např.: platy</w:t>
      </w:r>
      <w:r w:rsidR="00355EE1">
        <w:rPr>
          <w:sz w:val="24"/>
          <w:szCs w:val="24"/>
        </w:rPr>
        <w:t xml:space="preserve"> zaměstnanců včetně odvodů</w:t>
      </w:r>
      <w:r w:rsidR="00A51F9C">
        <w:rPr>
          <w:sz w:val="24"/>
          <w:szCs w:val="24"/>
        </w:rPr>
        <w:t xml:space="preserve"> ( 513 574.- Kč), nákup materiálu (13 308,- Kč), plyn (52 960,- Kč), služby telekomunikací (27 318,- Kč), výdaje na pořízení informací (97 351,83 Kč), výdaje na ostatní služby 43 845,- Kč),pořízení územního plánu 268 620,-Kč, pořízení plánu ČOV 27 830,-Kč, platba za vestavěnou skříň do kanceláře starosty a místostarostky 104 860,-Kč (obnova nábytku</w:t>
      </w:r>
      <w:r w:rsidR="00C00E9B">
        <w:rPr>
          <w:sz w:val="24"/>
          <w:szCs w:val="24"/>
        </w:rPr>
        <w:t xml:space="preserve"> z 50. let)</w:t>
      </w:r>
      <w:r w:rsidR="00A51F9C">
        <w:rPr>
          <w:sz w:val="24"/>
          <w:szCs w:val="24"/>
        </w:rPr>
        <w:t>, akce vodovod Hole 776 868,-Kč</w:t>
      </w:r>
      <w:r w:rsidR="00C00E9B">
        <w:rPr>
          <w:sz w:val="24"/>
          <w:szCs w:val="24"/>
        </w:rPr>
        <w:t>.</w:t>
      </w:r>
      <w:r w:rsidR="00A51F9C">
        <w:rPr>
          <w:sz w:val="24"/>
          <w:szCs w:val="24"/>
        </w:rPr>
        <w:t xml:space="preserve">   Na položce ostatní veřejné služby bylo utraceno za poštovné 1 349,- Kč; na položce příjmy a výdaje z úvěrových operací byly účtovány bankovní poplatky ve výši 6 842,- Kč.</w:t>
      </w:r>
    </w:p>
    <w:p w:rsidR="004B10C5" w:rsidRDefault="004B10C5" w:rsidP="00A51F9C">
      <w:pPr>
        <w:pStyle w:val="Bezmezer"/>
        <w:jc w:val="both"/>
        <w:rPr>
          <w:sz w:val="24"/>
          <w:szCs w:val="24"/>
        </w:rPr>
      </w:pPr>
    </w:p>
    <w:p w:rsidR="004B10C5" w:rsidRDefault="004B10C5" w:rsidP="00A51F9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Investiční akce „vodovod Hole“ pokračovala koncem roku nákupem materiály a  vyměřením stavby. Výkopové práce provádí firma Poláček Hole, obec hradí ostatní náklady související ( v roce 2017</w:t>
      </w:r>
      <w:r w:rsidR="00960356">
        <w:rPr>
          <w:sz w:val="24"/>
          <w:szCs w:val="24"/>
        </w:rPr>
        <w:t xml:space="preserve"> částka </w:t>
      </w:r>
      <w:r>
        <w:rPr>
          <w:sz w:val="24"/>
          <w:szCs w:val="24"/>
        </w:rPr>
        <w:t xml:space="preserve"> 777 8680, Kč).</w:t>
      </w:r>
    </w:p>
    <w:p w:rsidR="004B10C5" w:rsidRDefault="004B10C5" w:rsidP="00A51F9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Nový územní plán byl zadán </w:t>
      </w:r>
      <w:r w:rsidR="00DE6186">
        <w:rPr>
          <w:sz w:val="24"/>
          <w:szCs w:val="24"/>
        </w:rPr>
        <w:t>firmě  Ing. arch. Ivan Kaplan - AGORA Studio, pořizovatel je Městský úřad Černošice, odbor územního plánování byl zpracován k Návrhu (částka 235 950,00 Kč), další etapa bude pokračovat v roce 2018.</w:t>
      </w:r>
    </w:p>
    <w:p w:rsidR="00960356" w:rsidRDefault="00DE6186" w:rsidP="00A51F9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pořádala v roce 2017 zájezd  na Zahradu Čech Litoměřice, setkání </w:t>
      </w:r>
      <w:proofErr w:type="spellStart"/>
      <w:r>
        <w:rPr>
          <w:sz w:val="24"/>
          <w:szCs w:val="24"/>
        </w:rPr>
        <w:t>svrkyňských</w:t>
      </w:r>
      <w:proofErr w:type="spellEnd"/>
      <w:r>
        <w:rPr>
          <w:sz w:val="24"/>
          <w:szCs w:val="24"/>
        </w:rPr>
        <w:t xml:space="preserve"> seniorů 2017, odbornou přednášku k 1.</w:t>
      </w:r>
      <w:r w:rsidR="00960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pomoci, koncert kvarteta Musica </w:t>
      </w:r>
      <w:proofErr w:type="spellStart"/>
      <w:r>
        <w:rPr>
          <w:sz w:val="24"/>
          <w:szCs w:val="24"/>
        </w:rPr>
        <w:t>Festiva</w:t>
      </w:r>
      <w:proofErr w:type="spellEnd"/>
      <w:r>
        <w:rPr>
          <w:sz w:val="24"/>
          <w:szCs w:val="24"/>
        </w:rPr>
        <w:t xml:space="preserve"> di Praga v kostele sv. Michaela ve Svrkyni, mikulášskou nadílku pro děti, dětský den ve spolupráci </w:t>
      </w:r>
      <w:r w:rsidR="00960356">
        <w:rPr>
          <w:sz w:val="24"/>
          <w:szCs w:val="24"/>
        </w:rPr>
        <w:t>s MS Svrkyně-Velké Přílepy, setkání občanů u rozsvěcení vánočního stromu.</w:t>
      </w:r>
    </w:p>
    <w:p w:rsidR="00DE6186" w:rsidRDefault="00960356" w:rsidP="00A51F9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tomto roce se opět uskutečnily dvě brigády pod názvem „Za obec krásnější“ a to na jaře a na podzim, kdy byla uklizena obec a rekultivovány pozemky u rybníka</w:t>
      </w:r>
      <w:r w:rsidR="00DE61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K Loužím.</w:t>
      </w:r>
      <w:r w:rsidR="00DE6186">
        <w:rPr>
          <w:sz w:val="24"/>
          <w:szCs w:val="24"/>
        </w:rPr>
        <w:t xml:space="preserve"> </w:t>
      </w:r>
    </w:p>
    <w:p w:rsidR="006E6F43" w:rsidRDefault="009603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Obecní knihovna má </w:t>
      </w:r>
      <w:r w:rsidR="006E6F43">
        <w:rPr>
          <w:sz w:val="24"/>
          <w:szCs w:val="24"/>
        </w:rPr>
        <w:t xml:space="preserve">4 565 kusů svazků. Obec nakoupila nové tituly za 15 000,- Kč. Je evidováno 66 čtenářů, z toho 13 dětí. Bylo vypůjčeno 567 kusů knih. Obecní knihovna je zapojena do výměnného fondu se Středočeskou vědeckou knihovnou v Kladně. Knihovnu od roku 1991 vzorně vede p. Ing. M. </w:t>
      </w:r>
      <w:proofErr w:type="spellStart"/>
      <w:r w:rsidR="006E6F43">
        <w:rPr>
          <w:sz w:val="24"/>
          <w:szCs w:val="24"/>
        </w:rPr>
        <w:t>Frenzlová</w:t>
      </w:r>
      <w:proofErr w:type="spellEnd"/>
      <w:r w:rsidR="006E6F43">
        <w:rPr>
          <w:sz w:val="24"/>
          <w:szCs w:val="24"/>
        </w:rPr>
        <w:t>.</w:t>
      </w:r>
    </w:p>
    <w:p w:rsidR="008076AE" w:rsidRDefault="006E6F43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26AC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Plá</w:t>
      </w:r>
      <w:r w:rsidR="00F16AFD">
        <w:rPr>
          <w:b/>
          <w:sz w:val="24"/>
          <w:szCs w:val="24"/>
        </w:rPr>
        <w:t>nované výdaje činily celkem 9 79</w:t>
      </w:r>
      <w:r>
        <w:rPr>
          <w:b/>
          <w:sz w:val="24"/>
          <w:szCs w:val="24"/>
        </w:rPr>
        <w:t>0 00</w:t>
      </w:r>
      <w:r w:rsidR="00F16AFD">
        <w:rPr>
          <w:b/>
          <w:sz w:val="24"/>
          <w:szCs w:val="24"/>
        </w:rPr>
        <w:t>0,- Kč, skutečné výdaje činily 3 291 850</w:t>
      </w:r>
      <w:r>
        <w:rPr>
          <w:b/>
          <w:sz w:val="24"/>
          <w:szCs w:val="24"/>
        </w:rPr>
        <w:t>,- Kč. Ve výdaj</w:t>
      </w:r>
      <w:r w:rsidR="00C7320C">
        <w:rPr>
          <w:b/>
          <w:sz w:val="24"/>
          <w:szCs w:val="24"/>
        </w:rPr>
        <w:t>ích došlo k úspoře ve vý</w:t>
      </w:r>
      <w:r w:rsidR="00F16AFD">
        <w:rPr>
          <w:b/>
          <w:sz w:val="24"/>
          <w:szCs w:val="24"/>
        </w:rPr>
        <w:t>ši 6 498 150</w:t>
      </w:r>
      <w:r>
        <w:rPr>
          <w:b/>
          <w:sz w:val="24"/>
          <w:szCs w:val="24"/>
        </w:rPr>
        <w:t>,- Kč</w:t>
      </w:r>
      <w:r w:rsidR="00C00E9B">
        <w:rPr>
          <w:b/>
          <w:sz w:val="24"/>
          <w:szCs w:val="24"/>
        </w:rPr>
        <w:t>, neboť nebyla realizována plánovaná oprava dešťové kanalizace a  projekt na ČOV a kanalizaci</w:t>
      </w:r>
      <w:r>
        <w:rPr>
          <w:b/>
          <w:sz w:val="24"/>
          <w:szCs w:val="24"/>
        </w:rPr>
        <w:t>.</w:t>
      </w:r>
    </w:p>
    <w:p w:rsidR="00C00E9B" w:rsidRDefault="00C00E9B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Při přepočtu  skutečných příjmů, které činily  4 343 490,77Kč   na skutečné výdaje 3 291 850,14 Kč obec ušetřila 1 051 640,63 Kč.</w:t>
      </w:r>
    </w:p>
    <w:p w:rsidR="007926AC" w:rsidRDefault="007926AC" w:rsidP="008E1A56">
      <w:pPr>
        <w:pStyle w:val="Bezmezer"/>
        <w:jc w:val="both"/>
        <w:rPr>
          <w:b/>
          <w:sz w:val="24"/>
          <w:szCs w:val="24"/>
        </w:rPr>
      </w:pP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</w:p>
    <w:p w:rsidR="008E1A56" w:rsidRDefault="00C7320C" w:rsidP="008E1A56">
      <w:pPr>
        <w:pStyle w:val="Bezmezer"/>
        <w:jc w:val="both"/>
        <w:rPr>
          <w:b/>
          <w:sz w:val="24"/>
          <w:szCs w:val="24"/>
        </w:rPr>
      </w:pPr>
      <w:r w:rsidRPr="003E7520">
        <w:rPr>
          <w:b/>
          <w:sz w:val="24"/>
          <w:szCs w:val="24"/>
        </w:rPr>
        <w:t>Rozp</w:t>
      </w:r>
      <w:r w:rsidR="00F16AFD" w:rsidRPr="003E7520">
        <w:rPr>
          <w:b/>
          <w:sz w:val="24"/>
          <w:szCs w:val="24"/>
        </w:rPr>
        <w:t xml:space="preserve">očet byl </w:t>
      </w:r>
      <w:r w:rsidR="003E7520" w:rsidRPr="003E7520">
        <w:rPr>
          <w:b/>
          <w:sz w:val="24"/>
          <w:szCs w:val="24"/>
        </w:rPr>
        <w:t xml:space="preserve">původně </w:t>
      </w:r>
      <w:r w:rsidR="00F16AFD" w:rsidRPr="003E7520">
        <w:rPr>
          <w:b/>
          <w:sz w:val="24"/>
          <w:szCs w:val="24"/>
        </w:rPr>
        <w:t xml:space="preserve">plánován jako schodkový, schodek byl kryt z úspor minulých let. Schodek vznikl v důsledku plánovaných akcí Vodovod Hole, projektové dokumentace </w:t>
      </w:r>
      <w:r w:rsidR="00C00E9B" w:rsidRPr="003E7520">
        <w:rPr>
          <w:b/>
          <w:sz w:val="24"/>
          <w:szCs w:val="24"/>
        </w:rPr>
        <w:t>kanalizace a ČOV</w:t>
      </w:r>
      <w:r w:rsidR="00F16AFD" w:rsidRPr="003E7520">
        <w:rPr>
          <w:b/>
          <w:sz w:val="24"/>
          <w:szCs w:val="24"/>
        </w:rPr>
        <w:t xml:space="preserve"> a </w:t>
      </w:r>
      <w:r w:rsidR="003E7520" w:rsidRPr="003E7520">
        <w:rPr>
          <w:b/>
          <w:sz w:val="24"/>
          <w:szCs w:val="24"/>
        </w:rPr>
        <w:t>oprava</w:t>
      </w:r>
      <w:r w:rsidR="00F16AFD" w:rsidRPr="003E7520">
        <w:rPr>
          <w:b/>
          <w:sz w:val="24"/>
          <w:szCs w:val="24"/>
        </w:rPr>
        <w:t xml:space="preserve"> </w:t>
      </w:r>
      <w:proofErr w:type="spellStart"/>
      <w:r w:rsidR="00F16AFD" w:rsidRPr="003E7520">
        <w:rPr>
          <w:b/>
          <w:sz w:val="24"/>
          <w:szCs w:val="24"/>
        </w:rPr>
        <w:t>dešť</w:t>
      </w:r>
      <w:proofErr w:type="spellEnd"/>
      <w:r w:rsidR="00F16AFD" w:rsidRPr="003E7520">
        <w:rPr>
          <w:b/>
          <w:sz w:val="24"/>
          <w:szCs w:val="24"/>
        </w:rPr>
        <w:t>.</w:t>
      </w:r>
      <w:r w:rsidR="00BD7923" w:rsidRPr="003E7520">
        <w:rPr>
          <w:b/>
          <w:sz w:val="24"/>
          <w:szCs w:val="24"/>
        </w:rPr>
        <w:t xml:space="preserve"> </w:t>
      </w:r>
      <w:r w:rsidR="00F16AFD" w:rsidRPr="003E7520">
        <w:rPr>
          <w:b/>
          <w:sz w:val="24"/>
          <w:szCs w:val="24"/>
        </w:rPr>
        <w:t xml:space="preserve">kanalizace. </w:t>
      </w: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 Hospodářská činnost obce</w:t>
      </w:r>
    </w:p>
    <w:p w:rsidR="003E7520" w:rsidRDefault="00CD1705" w:rsidP="003E7520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Pronájem pozemků: 16</w:t>
      </w:r>
      <w:r w:rsidR="003E7520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="003E7520">
        <w:rPr>
          <w:sz w:val="24"/>
          <w:szCs w:val="24"/>
        </w:rPr>
        <w:t>925</w:t>
      </w:r>
      <w:r>
        <w:rPr>
          <w:sz w:val="24"/>
          <w:szCs w:val="24"/>
        </w:rPr>
        <w:t>,-Kč</w:t>
      </w:r>
      <w:r w:rsidR="003E7520">
        <w:rPr>
          <w:sz w:val="24"/>
          <w:szCs w:val="24"/>
        </w:rPr>
        <w:t>,</w:t>
      </w:r>
      <w:r w:rsidR="008E1A56" w:rsidRPr="00542D51">
        <w:rPr>
          <w:sz w:val="24"/>
          <w:szCs w:val="24"/>
        </w:rPr>
        <w:t xml:space="preserve"> </w:t>
      </w:r>
      <w:r w:rsidR="003E7520">
        <w:rPr>
          <w:sz w:val="24"/>
          <w:szCs w:val="24"/>
        </w:rPr>
        <w:t xml:space="preserve">výnosy z prodeje služeb byly 41 239,00 Kč, výnosy z místních poplatků (KO, ze psů, z veřejného prostranství, za zhodnocení stavebního pozemku, ostatní příjmy z vlastní činnosti, příjmy z poskytování služeb, ostatní nedaňové příjmy) </w:t>
      </w:r>
      <w:r w:rsidR="007D51EA">
        <w:rPr>
          <w:sz w:val="24"/>
          <w:szCs w:val="24"/>
        </w:rPr>
        <w:t>216 503,24</w:t>
      </w:r>
      <w:r w:rsidR="003E7520">
        <w:rPr>
          <w:sz w:val="24"/>
          <w:szCs w:val="24"/>
        </w:rPr>
        <w:t xml:space="preserve">,- Kč, </w:t>
      </w:r>
      <w:r w:rsidR="007D51EA">
        <w:rPr>
          <w:sz w:val="24"/>
          <w:szCs w:val="24"/>
        </w:rPr>
        <w:t xml:space="preserve">příjmy z finanční činnosti 500,00 Kč, </w:t>
      </w:r>
      <w:r w:rsidR="003E7520">
        <w:rPr>
          <w:sz w:val="24"/>
          <w:szCs w:val="24"/>
        </w:rPr>
        <w:t>příjmy z úroků 500,- Kč.</w:t>
      </w:r>
      <w:r w:rsidR="007D51EA">
        <w:rPr>
          <w:sz w:val="24"/>
          <w:szCs w:val="24"/>
        </w:rPr>
        <w:t xml:space="preserve"> Celkové příjmy z hospodářské činnosti činily 419 667,24 Kč.</w:t>
      </w:r>
    </w:p>
    <w:p w:rsidR="003E7520" w:rsidRDefault="003E7520" w:rsidP="003E7520">
      <w:pPr>
        <w:pStyle w:val="Bezmezer"/>
        <w:jc w:val="both"/>
        <w:rPr>
          <w:sz w:val="24"/>
          <w:szCs w:val="24"/>
        </w:rPr>
      </w:pPr>
    </w:p>
    <w:p w:rsidR="00377075" w:rsidRDefault="00377075" w:rsidP="008E1A56">
      <w:pPr>
        <w:pStyle w:val="Bezmezer"/>
        <w:jc w:val="both"/>
        <w:rPr>
          <w:sz w:val="24"/>
          <w:szCs w:val="24"/>
        </w:rPr>
      </w:pPr>
    </w:p>
    <w:p w:rsidR="00041D4E" w:rsidRDefault="00041D4E" w:rsidP="008E1A56">
      <w:pPr>
        <w:pStyle w:val="Bezmezer"/>
        <w:jc w:val="both"/>
        <w:rPr>
          <w:sz w:val="24"/>
          <w:szCs w:val="24"/>
        </w:rPr>
      </w:pP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3) Údaje o hospodaření s majetkem a dalších finančních operací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Rozvaha:</w:t>
      </w:r>
      <w:r>
        <w:rPr>
          <w:sz w:val="24"/>
          <w:szCs w:val="24"/>
        </w:rPr>
        <w:t xml:space="preserve"> </w:t>
      </w:r>
      <w:r w:rsidR="00F15075">
        <w:rPr>
          <w:sz w:val="24"/>
          <w:szCs w:val="24"/>
        </w:rPr>
        <w:t>Aktiva obce Sv</w:t>
      </w:r>
      <w:r w:rsidR="006C0932">
        <w:rPr>
          <w:sz w:val="24"/>
          <w:szCs w:val="24"/>
        </w:rPr>
        <w:t xml:space="preserve">rkyně k 31.12.2017 činila 40 275 519,17 </w:t>
      </w:r>
      <w:r w:rsidR="00F15075">
        <w:rPr>
          <w:sz w:val="24"/>
          <w:szCs w:val="24"/>
        </w:rPr>
        <w:t>Kč.  Stav pozemků obce je 4 534 141,90</w:t>
      </w:r>
      <w:r>
        <w:rPr>
          <w:sz w:val="24"/>
          <w:szCs w:val="24"/>
        </w:rPr>
        <w:t xml:space="preserve"> Kč.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Výkaz zisků a ztráty</w:t>
      </w:r>
      <w:r w:rsidR="004A4A7F">
        <w:rPr>
          <w:sz w:val="24"/>
          <w:szCs w:val="24"/>
        </w:rPr>
        <w:t>:</w:t>
      </w:r>
      <w:r w:rsidR="002646A1">
        <w:rPr>
          <w:sz w:val="24"/>
          <w:szCs w:val="24"/>
        </w:rPr>
        <w:t xml:space="preserve"> Náklady celkem činily 2 607 748,02 Kč , výnosy  4 499 087,77</w:t>
      </w:r>
      <w:r>
        <w:rPr>
          <w:sz w:val="24"/>
          <w:szCs w:val="24"/>
        </w:rPr>
        <w:t xml:space="preserve"> Kč, </w:t>
      </w:r>
      <w:r w:rsidR="00F15075">
        <w:rPr>
          <w:sz w:val="24"/>
          <w:szCs w:val="24"/>
        </w:rPr>
        <w:t>v nic</w:t>
      </w:r>
      <w:r w:rsidR="002646A1">
        <w:rPr>
          <w:sz w:val="24"/>
          <w:szCs w:val="24"/>
        </w:rPr>
        <w:t>h výnosy z činnosti byly 419 667,24</w:t>
      </w:r>
      <w:r>
        <w:rPr>
          <w:sz w:val="24"/>
          <w:szCs w:val="24"/>
        </w:rPr>
        <w:t xml:space="preserve"> Kč, finanční vý</w:t>
      </w:r>
      <w:r w:rsidR="002646A1">
        <w:rPr>
          <w:sz w:val="24"/>
          <w:szCs w:val="24"/>
        </w:rPr>
        <w:t>nosy byly 500,04</w:t>
      </w:r>
      <w:r>
        <w:rPr>
          <w:sz w:val="24"/>
          <w:szCs w:val="24"/>
        </w:rPr>
        <w:t xml:space="preserve"> </w:t>
      </w:r>
      <w:r w:rsidR="00F15075">
        <w:rPr>
          <w:sz w:val="24"/>
          <w:szCs w:val="24"/>
        </w:rPr>
        <w:t>K</w:t>
      </w:r>
      <w:r w:rsidR="002646A1">
        <w:rPr>
          <w:sz w:val="24"/>
          <w:szCs w:val="24"/>
        </w:rPr>
        <w:t>č, výnosy z transferů činily 223 135</w:t>
      </w:r>
      <w:r>
        <w:rPr>
          <w:sz w:val="24"/>
          <w:szCs w:val="24"/>
        </w:rPr>
        <w:t>,- Kč a výnosy ze sdíl</w:t>
      </w:r>
      <w:r w:rsidR="002646A1">
        <w:rPr>
          <w:sz w:val="24"/>
          <w:szCs w:val="24"/>
        </w:rPr>
        <w:t>ených daní a poplatků byly 3 855 785,49</w:t>
      </w:r>
      <w:r>
        <w:rPr>
          <w:sz w:val="24"/>
          <w:szCs w:val="24"/>
        </w:rPr>
        <w:t xml:space="preserve"> Kč. Výsledek hospodaření je  </w:t>
      </w:r>
      <w:r w:rsidR="002646A1">
        <w:rPr>
          <w:sz w:val="24"/>
          <w:szCs w:val="24"/>
        </w:rPr>
        <w:t xml:space="preserve">1 891 339,75 </w:t>
      </w:r>
      <w:r>
        <w:rPr>
          <w:sz w:val="24"/>
          <w:szCs w:val="24"/>
        </w:rPr>
        <w:t xml:space="preserve">Kč .  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Výkaz Rozvaha a výkaz zisků a ztráty a příloha účetní závěrky jsou k nahlédnutí na obecním úřadu. Výkazy a příloha obsahují údaje o stavu a vývoji majetku za běžný rok včetně popisu významných vlivů na změny stavu.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Stav základního</w:t>
      </w:r>
      <w:r w:rsidR="002646A1">
        <w:rPr>
          <w:sz w:val="24"/>
          <w:szCs w:val="24"/>
        </w:rPr>
        <w:t xml:space="preserve"> běžného účtu byl k 31.12. 2017 – 14 896 546,95 Kč</w:t>
      </w:r>
      <w:r>
        <w:rPr>
          <w:sz w:val="24"/>
          <w:szCs w:val="24"/>
        </w:rPr>
        <w:t>.</w:t>
      </w:r>
      <w:r w:rsidR="002646A1">
        <w:rPr>
          <w:sz w:val="24"/>
          <w:szCs w:val="24"/>
        </w:rPr>
        <w:t xml:space="preserve"> ( KB – 14 525 595,76 Kč, ČSOB – 370 951,19 Kč)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4) Stav účelových fondů a finančních aktiv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Obec nezřídila účelové fondy.</w:t>
      </w: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5) Hospodaření příspěvkových organizací 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Obec nezřídila příspěvkové organizace.</w:t>
      </w: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6) Hospodaření organizací založených obcí: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Obec nezřídila žádné organizace.</w:t>
      </w:r>
    </w:p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7) Vyúčtování finančních vztahů ke státnímu rozpočtu a ostatním rozpočtům veřejné úrovně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Dot</w:t>
      </w:r>
      <w:r w:rsidR="00B64128">
        <w:rPr>
          <w:sz w:val="24"/>
          <w:szCs w:val="24"/>
        </w:rPr>
        <w:t>ace do rozpočtu obce za rok 2017 činily celkem 57</w:t>
      </w:r>
      <w:r w:rsidR="00132CB6">
        <w:rPr>
          <w:sz w:val="24"/>
          <w:szCs w:val="24"/>
        </w:rPr>
        <w:t xml:space="preserve"> </w:t>
      </w:r>
      <w:r w:rsidR="00B64128">
        <w:rPr>
          <w:sz w:val="24"/>
          <w:szCs w:val="24"/>
        </w:rPr>
        <w:t>8</w:t>
      </w:r>
      <w:r>
        <w:rPr>
          <w:sz w:val="24"/>
          <w:szCs w:val="24"/>
        </w:rPr>
        <w:t xml:space="preserve">00,- Kč . Dotace byly řádně vyúčtovány. </w:t>
      </w:r>
    </w:p>
    <w:p w:rsidR="008E1A56" w:rsidRDefault="008E1A56" w:rsidP="008E1A56">
      <w:pPr>
        <w:pStyle w:val="Bezmezer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64"/>
        <w:gridCol w:w="1560"/>
        <w:gridCol w:w="1102"/>
        <w:gridCol w:w="1153"/>
        <w:gridCol w:w="1122"/>
        <w:gridCol w:w="1504"/>
        <w:gridCol w:w="1134"/>
        <w:gridCol w:w="1547"/>
      </w:tblGrid>
      <w:tr w:rsidR="008E1A56" w:rsidTr="000815C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Poskytovatel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Účel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ÚZ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Položka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Rozpočet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Rozpočet </w:t>
            </w:r>
            <w:r w:rsidR="000815C8">
              <w:rPr>
                <w:sz w:val="24"/>
                <w:szCs w:val="24"/>
              </w:rPr>
              <w:t xml:space="preserve">po </w:t>
            </w:r>
            <w:r>
              <w:rPr>
                <w:sz w:val="24"/>
                <w:szCs w:val="24"/>
              </w:rPr>
              <w:t>změnách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Čerpání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0815C8" w:rsidP="000815C8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k uprav. rozpočtu</w:t>
            </w:r>
          </w:p>
        </w:tc>
      </w:tr>
      <w:tr w:rsidR="008E1A56" w:rsidTr="000815C8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KúSk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Výkon státní správy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 w:rsidP="00B64128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4128">
              <w:rPr>
                <w:sz w:val="24"/>
                <w:szCs w:val="24"/>
              </w:rPr>
              <w:t>7</w:t>
            </w:r>
            <w:r w:rsidR="00CC66C0">
              <w:rPr>
                <w:sz w:val="24"/>
                <w:szCs w:val="24"/>
              </w:rPr>
              <w:t xml:space="preserve"> </w:t>
            </w:r>
            <w:r w:rsidR="00B64128">
              <w:rPr>
                <w:sz w:val="24"/>
                <w:szCs w:val="24"/>
              </w:rPr>
              <w:t>8</w:t>
            </w:r>
            <w:r w:rsidR="00CC66C0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8E1A56" w:rsidP="00B64128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412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B64128">
              <w:rPr>
                <w:sz w:val="24"/>
                <w:szCs w:val="24"/>
              </w:rPr>
              <w:t>8</w:t>
            </w:r>
            <w:r w:rsidR="00CC66C0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A56" w:rsidRDefault="00CC66C0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815C8" w:rsidTr="000815C8">
        <w:trPr>
          <w:trHeight w:val="969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0815C8">
            <w:pPr>
              <w:pStyle w:val="Bezmezer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KúSk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A02FC1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Volby do PS Parlamentu ČR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A02FC1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98071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A02FC1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0815C8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A02FC1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A02FC1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9 168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C8" w:rsidRDefault="000815C8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E1A56" w:rsidRDefault="008E1A56" w:rsidP="008E1A56">
      <w:pPr>
        <w:pStyle w:val="Bezmezer"/>
        <w:jc w:val="both"/>
        <w:rPr>
          <w:b/>
          <w:sz w:val="24"/>
          <w:szCs w:val="24"/>
        </w:rPr>
      </w:pPr>
    </w:p>
    <w:p w:rsidR="008E1A56" w:rsidRPr="004B10C5" w:rsidRDefault="008E1A56" w:rsidP="008E1A56">
      <w:pPr>
        <w:pStyle w:val="Bezmezer"/>
        <w:jc w:val="both"/>
        <w:rPr>
          <w:b/>
          <w:sz w:val="24"/>
          <w:szCs w:val="24"/>
        </w:rPr>
      </w:pPr>
      <w:r w:rsidRPr="004B10C5">
        <w:rPr>
          <w:b/>
          <w:sz w:val="24"/>
          <w:szCs w:val="24"/>
        </w:rPr>
        <w:t>8) Zpráva o výsledku přezkoum</w:t>
      </w:r>
      <w:r w:rsidR="000815C8" w:rsidRPr="004B10C5">
        <w:rPr>
          <w:b/>
          <w:sz w:val="24"/>
          <w:szCs w:val="24"/>
        </w:rPr>
        <w:t>ání hospodaření obce za rok 201</w:t>
      </w:r>
      <w:r w:rsidR="007D51EA" w:rsidRPr="004B10C5">
        <w:rPr>
          <w:b/>
          <w:sz w:val="24"/>
          <w:szCs w:val="24"/>
        </w:rPr>
        <w:t>7</w:t>
      </w: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  <w:r w:rsidRPr="004B10C5">
        <w:rPr>
          <w:sz w:val="24"/>
          <w:szCs w:val="24"/>
        </w:rPr>
        <w:t>Přezkoumání hospodaření provedl</w:t>
      </w:r>
      <w:r w:rsidR="007D51EA" w:rsidRPr="004B10C5">
        <w:rPr>
          <w:sz w:val="24"/>
          <w:szCs w:val="24"/>
        </w:rPr>
        <w:t>y</w:t>
      </w:r>
      <w:r w:rsidRPr="004B10C5">
        <w:rPr>
          <w:sz w:val="24"/>
          <w:szCs w:val="24"/>
        </w:rPr>
        <w:t xml:space="preserve"> pracovn</w:t>
      </w:r>
      <w:r w:rsidR="007D51EA" w:rsidRPr="004B10C5">
        <w:rPr>
          <w:sz w:val="24"/>
          <w:szCs w:val="24"/>
        </w:rPr>
        <w:t>ice</w:t>
      </w:r>
      <w:r w:rsidRPr="004B10C5">
        <w:rPr>
          <w:sz w:val="24"/>
          <w:szCs w:val="24"/>
        </w:rPr>
        <w:t xml:space="preserve"> odboru kontroly Krajského úřadu Středočeského kraje paní </w:t>
      </w:r>
      <w:r w:rsidR="000815C8" w:rsidRPr="004B10C5">
        <w:rPr>
          <w:sz w:val="24"/>
          <w:szCs w:val="24"/>
        </w:rPr>
        <w:t xml:space="preserve"> Irena Kovaříková  paní </w:t>
      </w:r>
      <w:r w:rsidR="007D51EA" w:rsidRPr="004B10C5">
        <w:rPr>
          <w:sz w:val="24"/>
          <w:szCs w:val="24"/>
        </w:rPr>
        <w:t xml:space="preserve">Jiřina </w:t>
      </w:r>
      <w:proofErr w:type="spellStart"/>
      <w:r w:rsidR="007D51EA" w:rsidRPr="004B10C5">
        <w:rPr>
          <w:sz w:val="24"/>
          <w:szCs w:val="24"/>
        </w:rPr>
        <w:t>Šamanová</w:t>
      </w:r>
      <w:proofErr w:type="spellEnd"/>
      <w:r w:rsidR="000815C8" w:rsidRPr="004B10C5">
        <w:rPr>
          <w:sz w:val="24"/>
          <w:szCs w:val="24"/>
        </w:rPr>
        <w:t>.</w:t>
      </w:r>
      <w:r w:rsidR="007D51EA" w:rsidRPr="004B10C5">
        <w:rPr>
          <w:sz w:val="24"/>
          <w:szCs w:val="24"/>
        </w:rPr>
        <w:t xml:space="preserve"> 23.10. 2017 bylo provedeno dílčí přezkoumání, při kterém bylo zjištěno, </w:t>
      </w:r>
      <w:r w:rsidR="00F36778" w:rsidRPr="004B10C5">
        <w:rPr>
          <w:sz w:val="24"/>
          <w:szCs w:val="24"/>
        </w:rPr>
        <w:t>že obec neúčtuje předpis SÚ 521 a524 do nákladů kalendářního měsíce</w:t>
      </w:r>
      <w:r w:rsidR="007D51EA" w:rsidRPr="004B10C5">
        <w:rPr>
          <w:sz w:val="24"/>
          <w:szCs w:val="24"/>
        </w:rPr>
        <w:t xml:space="preserve"> </w:t>
      </w:r>
      <w:r w:rsidR="00F36778" w:rsidRPr="004B10C5">
        <w:rPr>
          <w:sz w:val="24"/>
          <w:szCs w:val="24"/>
        </w:rPr>
        <w:t>do kterého patří a že rozpočet při schvalování v třídění podle rozpočtové skladby nebyl projednán v závazných ukazatelích.</w:t>
      </w:r>
    </w:p>
    <w:p w:rsidR="00F36778" w:rsidRPr="004B10C5" w:rsidRDefault="00F36778" w:rsidP="008E1A56">
      <w:pPr>
        <w:pStyle w:val="Bezmezer"/>
        <w:jc w:val="both"/>
        <w:rPr>
          <w:sz w:val="24"/>
          <w:szCs w:val="24"/>
        </w:rPr>
      </w:pPr>
      <w:r w:rsidRPr="004B10C5">
        <w:rPr>
          <w:sz w:val="24"/>
          <w:szCs w:val="24"/>
        </w:rPr>
        <w:t>Při přezkoumání hospodaření obce dne 9.4. 2018 bylo konstatováno, že obec přijala nápravná systémová opatření a účtuje předpis SÚ 521 a 524 do nákladů příslušného kalendářního měsíce a dále, že obec přijala systémové opatření, jehož účinnost byla ověřena, neboť při schvalováno rozpočtu na rok 2018 byly závaznými ukazateli stanoveny paragrafy.</w:t>
      </w: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  <w:r w:rsidRPr="004B10C5">
        <w:rPr>
          <w:b/>
          <w:sz w:val="24"/>
          <w:szCs w:val="24"/>
          <w:u w:val="single"/>
        </w:rPr>
        <w:t xml:space="preserve"> Závěr</w:t>
      </w:r>
      <w:r w:rsidRPr="004B10C5">
        <w:rPr>
          <w:sz w:val="24"/>
          <w:szCs w:val="24"/>
        </w:rPr>
        <w:t xml:space="preserve"> : Při přezkoumání hospodaření obce Svrkyně za rok 201</w:t>
      </w:r>
      <w:r w:rsidR="00F36778" w:rsidRPr="004B10C5">
        <w:rPr>
          <w:sz w:val="24"/>
          <w:szCs w:val="24"/>
        </w:rPr>
        <w:t>7</w:t>
      </w:r>
      <w:r w:rsidRPr="004B10C5">
        <w:rPr>
          <w:sz w:val="24"/>
          <w:szCs w:val="24"/>
        </w:rPr>
        <w:t xml:space="preserve"> podle § 2 a § 3 zákona č. 420/2004 Sb., ve znění pozdějších předpisů </w:t>
      </w:r>
      <w:r w:rsidRPr="004B10C5">
        <w:rPr>
          <w:b/>
          <w:sz w:val="24"/>
          <w:szCs w:val="24"/>
        </w:rPr>
        <w:t>neby</w:t>
      </w:r>
      <w:r w:rsidR="000815C8" w:rsidRPr="004B10C5">
        <w:rPr>
          <w:b/>
          <w:sz w:val="24"/>
          <w:szCs w:val="24"/>
        </w:rPr>
        <w:t>ly zjištěny chyby a nedostatky</w:t>
      </w:r>
      <w:r w:rsidR="00F36778" w:rsidRPr="004B10C5">
        <w:rPr>
          <w:b/>
          <w:sz w:val="24"/>
          <w:szCs w:val="24"/>
        </w:rPr>
        <w:t>, kromě chyb a nedostatků zjištěných při dílčím přezkoumání, které již byly napraveny.</w:t>
      </w:r>
      <w:r w:rsidR="000815C8" w:rsidRPr="004B10C5">
        <w:rPr>
          <w:b/>
          <w:sz w:val="24"/>
          <w:szCs w:val="24"/>
        </w:rPr>
        <w:t>.</w:t>
      </w:r>
    </w:p>
    <w:p w:rsidR="008E1A56" w:rsidRPr="004B10C5" w:rsidRDefault="008E1A56" w:rsidP="008E1A56">
      <w:pPr>
        <w:pStyle w:val="Bezmezer"/>
        <w:jc w:val="both"/>
        <w:rPr>
          <w:b/>
          <w:sz w:val="24"/>
          <w:szCs w:val="24"/>
        </w:rPr>
      </w:pPr>
      <w:r w:rsidRPr="004B10C5">
        <w:rPr>
          <w:b/>
          <w:sz w:val="24"/>
          <w:szCs w:val="24"/>
        </w:rPr>
        <w:t>Upozornění na rizika dle § 10 odst. 4 písm. a) zákona 420/2004 Sb., v platném znění: Neuvádí se.</w:t>
      </w:r>
    </w:p>
    <w:p w:rsidR="008E1A56" w:rsidRPr="004B10C5" w:rsidRDefault="008E1A56" w:rsidP="008E1A56">
      <w:pPr>
        <w:pStyle w:val="Bezmezer"/>
        <w:jc w:val="both"/>
        <w:rPr>
          <w:b/>
          <w:sz w:val="24"/>
          <w:szCs w:val="24"/>
        </w:rPr>
      </w:pPr>
    </w:p>
    <w:p w:rsidR="008E1A56" w:rsidRPr="004B10C5" w:rsidRDefault="008E1A56" w:rsidP="008E1A56">
      <w:pPr>
        <w:pStyle w:val="Bezmezer"/>
        <w:jc w:val="both"/>
        <w:rPr>
          <w:b/>
          <w:sz w:val="24"/>
          <w:szCs w:val="24"/>
        </w:rPr>
      </w:pPr>
      <w:r w:rsidRPr="004B10C5">
        <w:rPr>
          <w:b/>
          <w:sz w:val="24"/>
          <w:szCs w:val="24"/>
        </w:rPr>
        <w:t>Podíly dle § 10 odst. 4 písm. b) zákona 420/2004 Sb., v platném znění:</w:t>
      </w: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  <w:r w:rsidRPr="004B10C5">
        <w:rPr>
          <w:sz w:val="24"/>
          <w:szCs w:val="24"/>
        </w:rPr>
        <w:t>a) podíl pohledávek na rozpočtu územního celku 0,00%</w:t>
      </w: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  <w:r w:rsidRPr="004B10C5">
        <w:rPr>
          <w:sz w:val="24"/>
          <w:szCs w:val="24"/>
        </w:rPr>
        <w:t>b) podíl závazků na</w:t>
      </w:r>
      <w:r w:rsidR="000815C8" w:rsidRPr="004B10C5">
        <w:rPr>
          <w:sz w:val="24"/>
          <w:szCs w:val="24"/>
        </w:rPr>
        <w:t xml:space="preserve"> rozpočtu územního celku     0,</w:t>
      </w:r>
      <w:r w:rsidR="004B10C5" w:rsidRPr="004B10C5">
        <w:rPr>
          <w:sz w:val="24"/>
          <w:szCs w:val="24"/>
        </w:rPr>
        <w:t>25</w:t>
      </w:r>
      <w:r w:rsidRPr="004B10C5">
        <w:rPr>
          <w:sz w:val="24"/>
          <w:szCs w:val="24"/>
        </w:rPr>
        <w:t xml:space="preserve"> %</w:t>
      </w: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  <w:r w:rsidRPr="004B10C5">
        <w:rPr>
          <w:sz w:val="24"/>
          <w:szCs w:val="24"/>
        </w:rPr>
        <w:t>c) podíl zastaveného majetku na celkovém majetku územního celku      0,00 %</w:t>
      </w: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  <w:r w:rsidRPr="004B10C5">
        <w:rPr>
          <w:sz w:val="24"/>
          <w:szCs w:val="24"/>
        </w:rPr>
        <w:t>Plné znění zprávy o provedeném přezkoum</w:t>
      </w:r>
      <w:r w:rsidR="00640B9B" w:rsidRPr="004B10C5">
        <w:rPr>
          <w:sz w:val="24"/>
          <w:szCs w:val="24"/>
        </w:rPr>
        <w:t>ání hospodaření obce za rok 2017</w:t>
      </w:r>
      <w:r w:rsidRPr="004B10C5">
        <w:rPr>
          <w:sz w:val="24"/>
          <w:szCs w:val="24"/>
        </w:rPr>
        <w:t xml:space="preserve"> je přílohou k závěrečnému účtu.</w:t>
      </w:r>
    </w:p>
    <w:p w:rsidR="008E1A56" w:rsidRPr="004B10C5" w:rsidRDefault="008E1A56" w:rsidP="008E1A56">
      <w:pPr>
        <w:pStyle w:val="Bezmezer"/>
        <w:jc w:val="both"/>
        <w:rPr>
          <w:sz w:val="24"/>
          <w:szCs w:val="24"/>
        </w:rPr>
      </w:pPr>
    </w:p>
    <w:p w:rsidR="008E1A56" w:rsidRPr="00D97BCC" w:rsidRDefault="008E1A56" w:rsidP="008E1A56">
      <w:pPr>
        <w:pStyle w:val="Bezmezer"/>
        <w:jc w:val="both"/>
      </w:pPr>
      <w:r w:rsidRPr="004B10C5">
        <w:t xml:space="preserve">Ve Svrkyni  </w:t>
      </w:r>
      <w:r w:rsidR="00674416" w:rsidRPr="004B10C5">
        <w:t>11.4.2018</w:t>
      </w:r>
    </w:p>
    <w:p w:rsidR="008E1A56" w:rsidRDefault="008E1A56" w:rsidP="008E1A56">
      <w:pPr>
        <w:pStyle w:val="Bezmezer"/>
        <w:jc w:val="both"/>
      </w:pPr>
      <w:r>
        <w:t>Přílohy:</w:t>
      </w:r>
    </w:p>
    <w:p w:rsidR="008E1A56" w:rsidRDefault="008E1A56" w:rsidP="008E1A56">
      <w:pPr>
        <w:pStyle w:val="Bezmezer"/>
        <w:numPr>
          <w:ilvl w:val="0"/>
          <w:numId w:val="1"/>
        </w:numPr>
        <w:jc w:val="both"/>
      </w:pPr>
      <w:r>
        <w:t>Zpráva o přezkoumání hospodaření za rok</w:t>
      </w:r>
      <w:r w:rsidR="00640B9B">
        <w:t xml:space="preserve"> 2017</w:t>
      </w:r>
    </w:p>
    <w:p w:rsidR="008E1A56" w:rsidRDefault="00640B9B" w:rsidP="008E1A56">
      <w:pPr>
        <w:pStyle w:val="Bezmezer"/>
        <w:numPr>
          <w:ilvl w:val="0"/>
          <w:numId w:val="1"/>
        </w:numPr>
        <w:jc w:val="both"/>
      </w:pPr>
      <w:r>
        <w:lastRenderedPageBreak/>
        <w:t>Výkaz Fin 2-12 za období 12/2017</w:t>
      </w:r>
    </w:p>
    <w:p w:rsidR="008E1A56" w:rsidRDefault="00640B9B" w:rsidP="008E1A56">
      <w:pPr>
        <w:pStyle w:val="Bezmezer"/>
        <w:numPr>
          <w:ilvl w:val="0"/>
          <w:numId w:val="1"/>
        </w:numPr>
        <w:jc w:val="both"/>
      </w:pPr>
      <w:r>
        <w:t>Rozvaha za období 12/2017</w:t>
      </w:r>
    </w:p>
    <w:p w:rsidR="008E1A56" w:rsidRDefault="00640B9B" w:rsidP="008E1A56">
      <w:pPr>
        <w:pStyle w:val="Bezmezer"/>
        <w:numPr>
          <w:ilvl w:val="0"/>
          <w:numId w:val="1"/>
        </w:numPr>
        <w:jc w:val="both"/>
      </w:pPr>
      <w:r>
        <w:t>Finanční vypořádání za rok 2017</w:t>
      </w:r>
    </w:p>
    <w:p w:rsidR="008E1A56" w:rsidRDefault="008E1A56" w:rsidP="008E1A56">
      <w:pPr>
        <w:pStyle w:val="Bezmezer"/>
        <w:numPr>
          <w:ilvl w:val="0"/>
          <w:numId w:val="1"/>
        </w:numPr>
        <w:jc w:val="both"/>
      </w:pPr>
      <w:r>
        <w:t>Hospodaření obce</w:t>
      </w:r>
    </w:p>
    <w:p w:rsidR="008E1A56" w:rsidRDefault="008E1A56" w:rsidP="008E1A56">
      <w:pPr>
        <w:pStyle w:val="Bezmezer"/>
        <w:jc w:val="both"/>
      </w:pPr>
    </w:p>
    <w:p w:rsidR="008E1A56" w:rsidRDefault="008E1A56" w:rsidP="008E1A56">
      <w:pPr>
        <w:pStyle w:val="Bezmezer"/>
        <w:jc w:val="both"/>
      </w:pPr>
      <w:r>
        <w:t>Přílohy jsou k nahlédnutí na obecním úřadu.</w:t>
      </w:r>
    </w:p>
    <w:p w:rsidR="008E1A56" w:rsidRDefault="008E1A56" w:rsidP="008E1A56">
      <w:pPr>
        <w:pStyle w:val="Bezmezer"/>
        <w:jc w:val="both"/>
      </w:pPr>
    </w:p>
    <w:p w:rsidR="008E1A56" w:rsidRDefault="008E1A56" w:rsidP="008E1A56">
      <w:pPr>
        <w:pStyle w:val="Bezmezer"/>
        <w:jc w:val="both"/>
      </w:pPr>
    </w:p>
    <w:p w:rsidR="008E1A56" w:rsidRDefault="008E1A56" w:rsidP="008E1A56">
      <w:pPr>
        <w:pStyle w:val="Bezmezer"/>
        <w:jc w:val="both"/>
      </w:pPr>
      <w:r>
        <w:t>Předkládá: Bc. František Šafránek, starosta</w:t>
      </w:r>
    </w:p>
    <w:p w:rsidR="008E1A56" w:rsidRDefault="008E1A56" w:rsidP="008E1A56">
      <w:pPr>
        <w:pStyle w:val="Bezmezer"/>
        <w:jc w:val="both"/>
      </w:pPr>
    </w:p>
    <w:p w:rsidR="008E1A56" w:rsidRPr="00D97BCC" w:rsidRDefault="008E1A56" w:rsidP="00674416">
      <w:pPr>
        <w:pStyle w:val="Bezmezer"/>
        <w:tabs>
          <w:tab w:val="left" w:pos="2310"/>
        </w:tabs>
        <w:jc w:val="both"/>
      </w:pPr>
      <w:r>
        <w:t xml:space="preserve">Vyvěšeno: </w:t>
      </w:r>
      <w:r w:rsidR="00674416" w:rsidRPr="005C4455">
        <w:t>11.4.2018</w:t>
      </w:r>
      <w:r w:rsidR="00674416">
        <w:tab/>
      </w:r>
    </w:p>
    <w:p w:rsidR="008E1A56" w:rsidRPr="00D97BCC" w:rsidRDefault="0029394A" w:rsidP="008E1A56">
      <w:pPr>
        <w:pStyle w:val="Bezmezer"/>
        <w:jc w:val="both"/>
      </w:pPr>
      <w:r w:rsidRPr="00D97BCC">
        <w:t xml:space="preserve">Sejmuto:  </w:t>
      </w:r>
      <w:r w:rsidR="005C4455">
        <w:t xml:space="preserve"> 26.4.2018</w:t>
      </w:r>
      <w:bookmarkStart w:id="0" w:name="_GoBack"/>
      <w:bookmarkEnd w:id="0"/>
    </w:p>
    <w:p w:rsidR="0029394A" w:rsidRPr="00D97BCC" w:rsidRDefault="008E1A56" w:rsidP="008E1A56">
      <w:pPr>
        <w:pStyle w:val="Bezmezer"/>
        <w:jc w:val="both"/>
      </w:pPr>
      <w:r w:rsidRPr="00D97BCC">
        <w:t xml:space="preserve">Schváleno </w:t>
      </w:r>
      <w:r w:rsidR="0029394A" w:rsidRPr="00D97BCC">
        <w:t xml:space="preserve">v OZ : </w:t>
      </w:r>
    </w:p>
    <w:p w:rsidR="008E1A56" w:rsidRPr="00D97BCC" w:rsidRDefault="008E1A56" w:rsidP="008E1A56"/>
    <w:p w:rsidR="00A473BD" w:rsidRDefault="00A473BD"/>
    <w:sectPr w:rsidR="00A473BD" w:rsidSect="008E1A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57A2F"/>
    <w:multiLevelType w:val="hybridMultilevel"/>
    <w:tmpl w:val="1E1E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0D3"/>
    <w:multiLevelType w:val="hybridMultilevel"/>
    <w:tmpl w:val="74C2B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56"/>
    <w:rsid w:val="00033427"/>
    <w:rsid w:val="00041D4E"/>
    <w:rsid w:val="0007230A"/>
    <w:rsid w:val="000815C8"/>
    <w:rsid w:val="000A7D8B"/>
    <w:rsid w:val="00132CB6"/>
    <w:rsid w:val="00204588"/>
    <w:rsid w:val="002570F9"/>
    <w:rsid w:val="002646A1"/>
    <w:rsid w:val="00273793"/>
    <w:rsid w:val="0029394A"/>
    <w:rsid w:val="002F3278"/>
    <w:rsid w:val="003272E1"/>
    <w:rsid w:val="00337DEB"/>
    <w:rsid w:val="00355EE1"/>
    <w:rsid w:val="00377075"/>
    <w:rsid w:val="003D6D54"/>
    <w:rsid w:val="003E7520"/>
    <w:rsid w:val="004A206F"/>
    <w:rsid w:val="004A4A7F"/>
    <w:rsid w:val="004B10C5"/>
    <w:rsid w:val="004D2C2C"/>
    <w:rsid w:val="00542D51"/>
    <w:rsid w:val="005C4455"/>
    <w:rsid w:val="00634B04"/>
    <w:rsid w:val="00640B9B"/>
    <w:rsid w:val="00674416"/>
    <w:rsid w:val="00674D1C"/>
    <w:rsid w:val="006C0932"/>
    <w:rsid w:val="006D1377"/>
    <w:rsid w:val="006E6E2E"/>
    <w:rsid w:val="006E6F43"/>
    <w:rsid w:val="007926AC"/>
    <w:rsid w:val="007D51EA"/>
    <w:rsid w:val="008076AE"/>
    <w:rsid w:val="008A0625"/>
    <w:rsid w:val="008E1A56"/>
    <w:rsid w:val="00960356"/>
    <w:rsid w:val="00A02FC1"/>
    <w:rsid w:val="00A134D3"/>
    <w:rsid w:val="00A473BD"/>
    <w:rsid w:val="00A51F9C"/>
    <w:rsid w:val="00B64128"/>
    <w:rsid w:val="00BD7923"/>
    <w:rsid w:val="00C00E9B"/>
    <w:rsid w:val="00C5252F"/>
    <w:rsid w:val="00C7320C"/>
    <w:rsid w:val="00C8175A"/>
    <w:rsid w:val="00CC66C0"/>
    <w:rsid w:val="00CD1705"/>
    <w:rsid w:val="00D97BCC"/>
    <w:rsid w:val="00DE6186"/>
    <w:rsid w:val="00E46403"/>
    <w:rsid w:val="00E51F05"/>
    <w:rsid w:val="00E9612D"/>
    <w:rsid w:val="00EA2BEA"/>
    <w:rsid w:val="00F15075"/>
    <w:rsid w:val="00F16AFD"/>
    <w:rsid w:val="00F36778"/>
    <w:rsid w:val="00F40B69"/>
    <w:rsid w:val="00F6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1A5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E1A56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A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A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1A5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8E1A56"/>
    <w:pPr>
      <w:spacing w:after="0" w:line="240" w:lineRule="auto"/>
    </w:pPr>
  </w:style>
  <w:style w:type="table" w:styleId="Mkatabulky">
    <w:name w:val="Table Grid"/>
    <w:basedOn w:val="Normlntabulka"/>
    <w:uiPriority w:val="59"/>
    <w:rsid w:val="008E1A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svrkyn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kancelar</cp:lastModifiedBy>
  <cp:revision>3</cp:revision>
  <cp:lastPrinted>2017-02-27T17:35:00Z</cp:lastPrinted>
  <dcterms:created xsi:type="dcterms:W3CDTF">2018-04-16T16:24:00Z</dcterms:created>
  <dcterms:modified xsi:type="dcterms:W3CDTF">2018-04-17T07:02:00Z</dcterms:modified>
</cp:coreProperties>
</file>